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593EBD" w14:textId="77777777" w:rsidR="008D5B8D" w:rsidRDefault="008D5B8D">
      <w:pPr>
        <w:rPr>
          <w:b/>
          <w:bCs/>
        </w:rPr>
      </w:pPr>
    </w:p>
    <w:p w14:paraId="209938C1" w14:textId="66E4D36E" w:rsidR="00A637A1" w:rsidRDefault="00D23435">
      <w:pPr>
        <w:rPr>
          <w:b/>
          <w:bCs/>
        </w:rPr>
      </w:pPr>
      <w:r w:rsidRPr="00D23435">
        <w:rPr>
          <w:b/>
          <w:bCs/>
        </w:rPr>
        <w:t>1</w:t>
      </w:r>
      <w:r w:rsidR="008D5B8D">
        <w:rPr>
          <w:b/>
          <w:bCs/>
        </w:rPr>
        <w:t>.</w:t>
      </w:r>
      <w:r w:rsidRPr="00D23435">
        <w:rPr>
          <w:b/>
          <w:bCs/>
        </w:rPr>
        <w:t>2 Tanári magyarázat</w:t>
      </w:r>
    </w:p>
    <w:p w14:paraId="73900E2E" w14:textId="77777777" w:rsidR="008D5B8D" w:rsidRPr="00D23435" w:rsidRDefault="008D5B8D">
      <w:pPr>
        <w:rPr>
          <w:b/>
          <w:bCs/>
        </w:rPr>
      </w:pPr>
    </w:p>
    <w:p w14:paraId="31BE26D7" w14:textId="37B8E2FB" w:rsidR="008D5B8D" w:rsidRPr="008D5B8D" w:rsidRDefault="001A0099" w:rsidP="008D5B8D">
      <w:pPr>
        <w:rPr>
          <w:b/>
          <w:bCs/>
        </w:rPr>
      </w:pPr>
      <w:r>
        <w:rPr>
          <w:b/>
          <w:bCs/>
        </w:rPr>
        <w:t>2</w:t>
      </w:r>
      <w:r w:rsidR="008D5B8D" w:rsidRPr="008D5B8D">
        <w:rPr>
          <w:b/>
          <w:bCs/>
        </w:rPr>
        <w:t>. Dia:</w:t>
      </w:r>
    </w:p>
    <w:p w14:paraId="06C34900" w14:textId="77777777" w:rsidR="008D5B8D" w:rsidRPr="008D5B8D" w:rsidRDefault="008D5B8D" w:rsidP="008D5B8D">
      <w:r w:rsidRPr="00355167">
        <w:rPr>
          <w:b/>
          <w:bCs/>
        </w:rPr>
        <w:t>Felelős turistaként</w:t>
      </w:r>
      <w:r w:rsidRPr="008D5B8D">
        <w:t xml:space="preserve"> bárki viselkedhet, legyen akár a luxust kedvelő turista, vagy az őserdőben nomád körülményeit kipróbáló felfedező típusú utazó, legyen egyéni vagy csoportosan utazó, legyen kulturális érdeklődésű, vagy sporteseményre utazó, utazzon bár repülőgéppel vagy kerékpárral. Amennyiben utazása során betartja a fenntartható turizmus megvalósításnak irányelveit, felelősségteljesen viselkedik.</w:t>
      </w:r>
    </w:p>
    <w:p w14:paraId="0CD43BED" w14:textId="77777777" w:rsidR="008D5B8D" w:rsidRPr="008D5B8D" w:rsidRDefault="008D5B8D" w:rsidP="008D5B8D">
      <w:r w:rsidRPr="008D5B8D">
        <w:t>A felelős turista aktívan törekszik utazása hatásainak csökkentésére, miközben hozzájárul a fogadóterület lakosságának, a helynek és a környezetnek a jól-létéhez.</w:t>
      </w:r>
    </w:p>
    <w:p w14:paraId="2DC99C0D" w14:textId="2A74732B" w:rsidR="00D23435" w:rsidRDefault="00D23435"/>
    <w:p w14:paraId="212FE19F" w14:textId="58695555" w:rsidR="008D5B8D" w:rsidRPr="008D5B8D" w:rsidRDefault="001A0099">
      <w:pPr>
        <w:rPr>
          <w:b/>
          <w:bCs/>
        </w:rPr>
      </w:pPr>
      <w:r>
        <w:rPr>
          <w:b/>
          <w:bCs/>
        </w:rPr>
        <w:t>3</w:t>
      </w:r>
      <w:r w:rsidR="008D5B8D" w:rsidRPr="008D5B8D">
        <w:rPr>
          <w:b/>
          <w:bCs/>
        </w:rPr>
        <w:t>. dia</w:t>
      </w:r>
    </w:p>
    <w:p w14:paraId="2CE691D4" w14:textId="078E0D4E" w:rsidR="00F37A61" w:rsidRDefault="00F37A61" w:rsidP="008D5B8D">
      <w:r w:rsidRPr="000D6950">
        <w:t xml:space="preserve">A felelős turizmus a fenntartható turizmus megvalósításához vezet.  Gyakorlatilag lokális szinten valósítja </w:t>
      </w:r>
      <w:r w:rsidR="00CE2916" w:rsidRPr="000D6950">
        <w:t xml:space="preserve">meg </w:t>
      </w:r>
      <w:r w:rsidR="00CE2916">
        <w:t>mindazt,</w:t>
      </w:r>
      <w:r w:rsidRPr="000D6950">
        <w:t xml:space="preserve"> ami a fenntartható turizmusfejlesztés globálisan kitűzött maga elé</w:t>
      </w:r>
      <w:r>
        <w:t xml:space="preserve">, vagyis a gazdasági, a környezeti és a társadalmi </w:t>
      </w:r>
      <w:r w:rsidR="00CE2916">
        <w:t>fenntarthatóságot.</w:t>
      </w:r>
      <w:r w:rsidRPr="000D6950">
        <w:t xml:space="preserve">  Ennek érdekében helyi szinten kell a felelős turistának a felelős magatartásával felelősséget vállalni a meglátogatott desztináció környezetével, a gazdaságával és helyi közösségeivel szemben</w:t>
      </w:r>
    </w:p>
    <w:p w14:paraId="277ACC69" w14:textId="48B6BB7C" w:rsidR="008D5B8D" w:rsidRPr="008D5B8D" w:rsidRDefault="008D5B8D" w:rsidP="008D5B8D">
      <w:r w:rsidRPr="008D5B8D">
        <w:t xml:space="preserve">Mivel azonban </w:t>
      </w:r>
      <w:r w:rsidR="00F37A61">
        <w:t xml:space="preserve">a fenntarthatóság a turizmusnak nem </w:t>
      </w:r>
      <w:r w:rsidRPr="008D5B8D">
        <w:t>egy statikus állapot</w:t>
      </w:r>
      <w:r w:rsidR="00F37A61">
        <w:t>a</w:t>
      </w:r>
      <w:r w:rsidRPr="008D5B8D">
        <w:t xml:space="preserve">, </w:t>
      </w:r>
      <w:r w:rsidR="00F37A61">
        <w:t>hiszen</w:t>
      </w:r>
      <w:r w:rsidRPr="008D5B8D">
        <w:t xml:space="preserve"> mindig van egy még fenntarthatóbb állapot, a felelősségteljes magatartás folyamatosan és állandóan kell, hogy jellemezze a turizmust.</w:t>
      </w:r>
    </w:p>
    <w:p w14:paraId="1DD1139E" w14:textId="73B6796C" w:rsidR="000D6950" w:rsidRPr="000D6950" w:rsidRDefault="000D6950" w:rsidP="000D6950">
      <w:r w:rsidRPr="000D6950">
        <w:t xml:space="preserve">. </w:t>
      </w:r>
    </w:p>
    <w:p w14:paraId="29FBE6B4" w14:textId="77777777" w:rsidR="000D6950" w:rsidRDefault="000D6950" w:rsidP="008D5B8D"/>
    <w:p w14:paraId="696EC7B2" w14:textId="59BC590C" w:rsidR="00396C31" w:rsidRPr="00C524EA" w:rsidRDefault="001A0099" w:rsidP="00396C31">
      <w:pPr>
        <w:rPr>
          <w:b/>
          <w:bCs/>
        </w:rPr>
      </w:pPr>
      <w:r>
        <w:rPr>
          <w:b/>
          <w:bCs/>
        </w:rPr>
        <w:t>4</w:t>
      </w:r>
      <w:r w:rsidR="00396C31" w:rsidRPr="00C524EA">
        <w:rPr>
          <w:b/>
          <w:bCs/>
        </w:rPr>
        <w:t>. dia</w:t>
      </w:r>
    </w:p>
    <w:p w14:paraId="59EFEF40" w14:textId="7138FA95" w:rsidR="00396C31" w:rsidRPr="00C524EA" w:rsidRDefault="00396C31" w:rsidP="00396C31">
      <w:r w:rsidRPr="00C524EA">
        <w:t xml:space="preserve">Mind a piacon, mind pedig a desztinációkban speciális a </w:t>
      </w:r>
      <w:r w:rsidRPr="00C524EA">
        <w:rPr>
          <w:b/>
          <w:bCs/>
        </w:rPr>
        <w:t>közszektor, különösen a kormányzati szektor</w:t>
      </w:r>
      <w:r w:rsidRPr="00C524EA">
        <w:t xml:space="preserve"> felelőssége. Nemcsak a fejlesztési célok kitűzésében, a turizmus számára is nélkülözhetetlen korszerű infrastruktúra kialakításában és működtetésében, a fenntartható célok megvalósítását támogató szabályozórendszer kialakításában, kielégítő jóléti szolgáltatások működtetésben stb. Egyrészt a felelős turista magatartásról való meggyőzésben az oktatás, </w:t>
      </w:r>
      <w:r w:rsidR="00E14F42" w:rsidRPr="00C524EA">
        <w:t>szakoktatás minden</w:t>
      </w:r>
      <w:r w:rsidRPr="00C524EA">
        <w:t xml:space="preserve"> területén, másrészt pedig a szolgáltatóknak számára történő iránymutatásban a fentarthatóbb termékek és szolgáltatások </w:t>
      </w:r>
      <w:r w:rsidR="00E14F42" w:rsidRPr="00C524EA">
        <w:t>előállítása érdekében</w:t>
      </w:r>
      <w:r w:rsidRPr="00C524EA">
        <w:t>.</w:t>
      </w:r>
    </w:p>
    <w:p w14:paraId="64BA4031" w14:textId="3F05997C" w:rsidR="00396C31" w:rsidRPr="00C524EA" w:rsidRDefault="00396C31" w:rsidP="00396C31">
      <w:r w:rsidRPr="00C524EA">
        <w:t xml:space="preserve">A </w:t>
      </w:r>
      <w:r w:rsidRPr="00F2494B">
        <w:t>helyi közösségek</w:t>
      </w:r>
      <w:r w:rsidRPr="00C524EA">
        <w:t xml:space="preserve"> számára fontos, hogy részt vehessenek a turizmusban akár, mit a helyi turisztikai létesítmények és szolgáltatások használói, másrészt pedig mint szolgáltatók., de jelentős szerep </w:t>
      </w:r>
      <w:r w:rsidR="00E14F42" w:rsidRPr="00C524EA">
        <w:t>hárulhat rájuk</w:t>
      </w:r>
      <w:r w:rsidRPr="00C524EA">
        <w:t xml:space="preserve"> az örökségvédelemben is. Joggal várják el, hogy a turizmus javítsa az életminőségüket.</w:t>
      </w:r>
    </w:p>
    <w:p w14:paraId="583D7EC0" w14:textId="69F7DD99" w:rsidR="00396C31" w:rsidRPr="00C524EA" w:rsidRDefault="00396C31" w:rsidP="00396C31">
      <w:r w:rsidRPr="00C524EA">
        <w:t xml:space="preserve">A desztinációban megjelenő </w:t>
      </w:r>
      <w:r w:rsidRPr="00F2494B">
        <w:t>turisták</w:t>
      </w:r>
      <w:r w:rsidRPr="00C524EA">
        <w:t xml:space="preserve"> száma, tevékenységeik, </w:t>
      </w:r>
      <w:r w:rsidR="00E14F42" w:rsidRPr="00C524EA">
        <w:t>az,</w:t>
      </w:r>
      <w:r w:rsidRPr="00C524EA">
        <w:t xml:space="preserve"> hogy mennyit költenek – ezen belül különösen jelentős a helyi termékekre fordított k</w:t>
      </w:r>
      <w:r w:rsidR="00E14F42">
        <w:t>i</w:t>
      </w:r>
      <w:r w:rsidRPr="00C524EA">
        <w:t xml:space="preserve">adásaik aránya -, valamint a </w:t>
      </w:r>
      <w:r w:rsidR="00E14F42" w:rsidRPr="00C524EA">
        <w:t>viselkedésmódjuk az</w:t>
      </w:r>
      <w:r>
        <w:t xml:space="preserve"> </w:t>
      </w:r>
      <w:r w:rsidRPr="00C524EA">
        <w:t>egyik kulcsa a desztináció fenntartható fejlődésének, hiszen ezekben valósul meg a felelős turisztikai magatartásuk.</w:t>
      </w:r>
    </w:p>
    <w:p w14:paraId="4A347B9E" w14:textId="396E41B1" w:rsidR="00396C31" w:rsidRPr="00C524EA" w:rsidRDefault="00396C31" w:rsidP="00396C31">
      <w:r w:rsidRPr="00C524EA">
        <w:lastRenderedPageBreak/>
        <w:t xml:space="preserve">Mivel a fogyasztás és a termékelőállítás sémái azonosak, a </w:t>
      </w:r>
      <w:r w:rsidRPr="00F2494B">
        <w:t>turisztikai vállalkozásokra</w:t>
      </w:r>
      <w:r w:rsidRPr="00C524EA">
        <w:rPr>
          <w:b/>
          <w:bCs/>
        </w:rPr>
        <w:t xml:space="preserve"> </w:t>
      </w:r>
      <w:r w:rsidRPr="00C524EA">
        <w:t>is súlyos felelősség hárul. Ilyenek a vállalatvezetés fenntarthatósága (</w:t>
      </w:r>
      <w:r w:rsidR="00E14F42" w:rsidRPr="00C524EA">
        <w:t>termék, munkavállaló</w:t>
      </w:r>
      <w:r w:rsidRPr="00C524EA">
        <w:t>, környezet vonatkozásában), a helyi közösségekkel, a civil szervezetekkel és a desztináció többi vállalkozásával az egymás érdekeit tiszteletben tartó kapcsolat kialakítása és nem utolsó sorban etikus munkahelyek teremtése.</w:t>
      </w:r>
    </w:p>
    <w:p w14:paraId="1D6FE9F3" w14:textId="77777777" w:rsidR="00396C31" w:rsidRDefault="00396C31" w:rsidP="008D5B8D"/>
    <w:p w14:paraId="3DB10958" w14:textId="092DFC56" w:rsidR="008D5B8D" w:rsidRPr="008D5B8D" w:rsidRDefault="001A0099" w:rsidP="008D5B8D">
      <w:pPr>
        <w:rPr>
          <w:b/>
          <w:bCs/>
        </w:rPr>
      </w:pPr>
      <w:r>
        <w:rPr>
          <w:b/>
          <w:bCs/>
        </w:rPr>
        <w:t>5</w:t>
      </w:r>
      <w:r w:rsidR="008D5B8D" w:rsidRPr="008D5B8D">
        <w:rPr>
          <w:b/>
          <w:bCs/>
        </w:rPr>
        <w:t>. dia</w:t>
      </w:r>
    </w:p>
    <w:p w14:paraId="142D0FA9" w14:textId="58690C12" w:rsidR="008D5B8D" w:rsidRPr="008D5B8D" w:rsidRDefault="00407229" w:rsidP="008D5B8D">
      <w:r>
        <w:t xml:space="preserve">A </w:t>
      </w:r>
      <w:r w:rsidRPr="00F2494B">
        <w:rPr>
          <w:b/>
          <w:bCs/>
        </w:rPr>
        <w:t>felelős turista mindenekelőtt tudatos</w:t>
      </w:r>
      <w:r>
        <w:t xml:space="preserve">, </w:t>
      </w:r>
      <w:r w:rsidR="008D5B8D" w:rsidRPr="008D5B8D">
        <w:t>attól kezdve, hogy utazásra szánja magát egészen a hazaérkezéséig céltudatos, minden egyes döntése</w:t>
      </w:r>
      <w:r w:rsidR="00D51F31">
        <w:t xml:space="preserve"> </w:t>
      </w:r>
      <w:r w:rsidR="00E14F42">
        <w:t xml:space="preserve">és </w:t>
      </w:r>
      <w:r w:rsidR="00E14F42" w:rsidRPr="008D5B8D">
        <w:t>tette</w:t>
      </w:r>
      <w:r w:rsidR="008D5B8D" w:rsidRPr="008D5B8D">
        <w:t xml:space="preserve"> következményeit mérlegeli, felelős.  </w:t>
      </w:r>
    </w:p>
    <w:p w14:paraId="1FBE7E4B" w14:textId="5D4FCE40" w:rsidR="008D5B8D" w:rsidRPr="008D5B8D" w:rsidRDefault="008D5B8D" w:rsidP="008D5B8D">
      <w:r w:rsidRPr="008D5B8D">
        <w:t>Az utazás</w:t>
      </w:r>
      <w:r w:rsidR="00D51F31">
        <w:t>át körültekintően tervezi meg</w:t>
      </w:r>
      <w:r w:rsidRPr="008D5B8D">
        <w:t>. Ez a folyamat nem különbözik más tervezési</w:t>
      </w:r>
      <w:r w:rsidRPr="008D5B8D">
        <w:rPr>
          <w:b/>
          <w:bCs/>
        </w:rPr>
        <w:t xml:space="preserve"> </w:t>
      </w:r>
      <w:r w:rsidRPr="008D5B8D">
        <w:t>folyamat</w:t>
      </w:r>
      <w:r w:rsidR="00D51F31">
        <w:t>októl</w:t>
      </w:r>
      <w:r w:rsidRPr="008D5B8D">
        <w:t>.</w:t>
      </w:r>
    </w:p>
    <w:p w14:paraId="6CE7025A" w14:textId="77777777" w:rsidR="00D51F31" w:rsidRDefault="008D5B8D" w:rsidP="00D51F31">
      <w:pPr>
        <w:pStyle w:val="Listaszerbekezds"/>
        <w:numPr>
          <w:ilvl w:val="0"/>
          <w:numId w:val="2"/>
        </w:numPr>
      </w:pPr>
      <w:r w:rsidRPr="008D5B8D">
        <w:t xml:space="preserve">Utazása előtt tájékozódik, hiteles és adekvát információkat gyűjt. </w:t>
      </w:r>
    </w:p>
    <w:p w14:paraId="70F0ABDE" w14:textId="2B6C7C93" w:rsidR="00D51F31" w:rsidRDefault="008D5B8D" w:rsidP="00D51F31">
      <w:pPr>
        <w:pStyle w:val="Listaszerbekezds"/>
      </w:pPr>
      <w:r w:rsidRPr="008D5B8D">
        <w:t xml:space="preserve">Az információk birtokában, azok összehasonlítása, értékelése alapján meghozza a döntéseit az utazásával kapcsolatban. Nagyon sok döntés meghozatalára van szüksége – desztináció, időpont, időtartam, utazás módjának, szolgáltatásoknak és </w:t>
      </w:r>
      <w:r w:rsidR="00E14F42" w:rsidRPr="008D5B8D">
        <w:t>szolgáltatóknak</w:t>
      </w:r>
      <w:r w:rsidRPr="008D5B8D">
        <w:t xml:space="preserve"> stb. kiválasztása. </w:t>
      </w:r>
    </w:p>
    <w:p w14:paraId="6EAF0043" w14:textId="77777777" w:rsidR="00D51F31" w:rsidRDefault="008D5B8D" w:rsidP="00D51F31">
      <w:pPr>
        <w:pStyle w:val="Listaszerbekezds"/>
        <w:numPr>
          <w:ilvl w:val="0"/>
          <w:numId w:val="2"/>
        </w:numPr>
      </w:pPr>
      <w:r w:rsidRPr="008D5B8D">
        <w:t xml:space="preserve">Ezután következik a felkészülés szakasza. Felkészülés a desztináció sajátosságaiból. </w:t>
      </w:r>
    </w:p>
    <w:p w14:paraId="7532ECF8" w14:textId="77777777" w:rsidR="00D51F31" w:rsidRDefault="008D5B8D" w:rsidP="00D51F31">
      <w:pPr>
        <w:pStyle w:val="Listaszerbekezds"/>
        <w:numPr>
          <w:ilvl w:val="0"/>
          <w:numId w:val="2"/>
        </w:numPr>
      </w:pPr>
      <w:r w:rsidRPr="008D5B8D">
        <w:t xml:space="preserve">A megvalósítás szakasza jelenti a cselekvést, azaz az utazó tényleges viselkedését az utazás és a tartózkodás során.  </w:t>
      </w:r>
    </w:p>
    <w:p w14:paraId="69FFCA0D" w14:textId="3181CF97" w:rsidR="008D5B8D" w:rsidRPr="008D5B8D" w:rsidRDefault="008D5B8D" w:rsidP="00D51F31">
      <w:pPr>
        <w:pStyle w:val="Listaszerbekezds"/>
        <w:numPr>
          <w:ilvl w:val="0"/>
          <w:numId w:val="2"/>
        </w:numPr>
      </w:pPr>
      <w:r w:rsidRPr="008D5B8D">
        <w:t>Ezzel azonban nem zárul le a folyamat, hiszen a felelős turista egyik fontos felelőssége, hogy másokat is tájékoztasson a tapasztalatairól, másoknak a figyelmét is felhívja a felelős turista magatartásra, illetve tanácsokat adjon.</w:t>
      </w:r>
      <w:r w:rsidR="00D51F31">
        <w:t xml:space="preserve"> felelőssége arra is kiterjed, hogy a nem fenntartható szolgáltatói magatartásra, termékre felhívja a figyelmet, annak a piacról való kizárása érdekében.</w:t>
      </w:r>
    </w:p>
    <w:p w14:paraId="06CEFF9E" w14:textId="4EC9F957" w:rsidR="00396C31" w:rsidRPr="00396C31" w:rsidRDefault="00F37A61" w:rsidP="00F37A61">
      <w:r>
        <w:t>A</w:t>
      </w:r>
      <w:r w:rsidR="00396C31" w:rsidRPr="00396C31">
        <w:t>zok az intézkedések, ami</w:t>
      </w:r>
      <w:r w:rsidR="00396C31">
        <w:t>k</w:t>
      </w:r>
      <w:r w:rsidR="00396C31" w:rsidRPr="00396C31">
        <w:t xml:space="preserve"> arra irányulnak, hogy a turista figyelmét felhívják a felelős </w:t>
      </w:r>
      <w:r w:rsidR="00E14F42" w:rsidRPr="00396C31">
        <w:t>magatartásra, túlmutatnak</w:t>
      </w:r>
      <w:r w:rsidR="00396C31" w:rsidRPr="00396C31">
        <w:t xml:space="preserve"> a </w:t>
      </w:r>
      <w:r w:rsidR="00E14F42" w:rsidRPr="00396C31">
        <w:t>befolyásoló információkon</w:t>
      </w:r>
      <w:r w:rsidR="00396C31" w:rsidRPr="00396C31">
        <w:t xml:space="preserve"> és a hívogató </w:t>
      </w:r>
      <w:r w:rsidR="00E14F42" w:rsidRPr="00396C31">
        <w:t>üzeneteken, végig</w:t>
      </w:r>
      <w:r w:rsidR="00396C31" w:rsidRPr="00396C31">
        <w:t xml:space="preserve"> kell kísérniük a</w:t>
      </w:r>
      <w:r w:rsidR="00396C31">
        <w:t xml:space="preserve"> turistát </w:t>
      </w:r>
      <w:r w:rsidR="00E14F42">
        <w:t xml:space="preserve">a </w:t>
      </w:r>
      <w:r w:rsidR="00E14F42" w:rsidRPr="00396C31">
        <w:t>döntési</w:t>
      </w:r>
      <w:r w:rsidR="00396C31" w:rsidRPr="00396C31">
        <w:t xml:space="preserve"> folyamat különböző szakaszain. Miközben a turista a döntést latolgatja különböző lehető</w:t>
      </w:r>
      <w:r w:rsidR="00396C31">
        <w:t>s</w:t>
      </w:r>
      <w:r w:rsidR="00396C31" w:rsidRPr="00396C31">
        <w:t xml:space="preserve">égekre </w:t>
      </w:r>
      <w:r w:rsidR="00E14F42" w:rsidRPr="00396C31">
        <w:t>és példákra</w:t>
      </w:r>
      <w:r w:rsidR="00396C31" w:rsidRPr="00396C31">
        <w:t xml:space="preserve"> van s</w:t>
      </w:r>
      <w:r w:rsidR="00396C31">
        <w:t>z</w:t>
      </w:r>
      <w:r w:rsidR="00396C31" w:rsidRPr="00396C31">
        <w:t xml:space="preserve">üksége, a felkészülés és a cselekvés -– az utazás és a </w:t>
      </w:r>
      <w:r w:rsidR="00E14F42" w:rsidRPr="00396C31">
        <w:t>tartózkodás – fázisában</w:t>
      </w:r>
      <w:r w:rsidR="00396C31" w:rsidRPr="00396C31">
        <w:t xml:space="preserve"> kézzel </w:t>
      </w:r>
      <w:r w:rsidR="00CE2916" w:rsidRPr="00396C31">
        <w:t>fogható</w:t>
      </w:r>
      <w:r w:rsidR="00CE2916">
        <w:t>, a</w:t>
      </w:r>
      <w:r w:rsidR="00396C31" w:rsidRPr="00396C31">
        <w:t xml:space="preserve"> döntést</w:t>
      </w:r>
      <w:r>
        <w:t xml:space="preserve"> </w:t>
      </w:r>
      <w:r w:rsidR="00396C31" w:rsidRPr="00396C31">
        <w:t xml:space="preserve">segítő közreműködésre van </w:t>
      </w:r>
      <w:r w:rsidR="00E14F42" w:rsidRPr="00396C31">
        <w:t>szüksége, hogy</w:t>
      </w:r>
      <w:r w:rsidR="00396C31" w:rsidRPr="00396C31">
        <w:t xml:space="preserve"> legyőzhesse a belső (pszichológiai) és a külső (politikai, társadalmi, családi háttér, </w:t>
      </w:r>
      <w:r w:rsidR="00E14F42" w:rsidRPr="00396C31">
        <w:t>pénzügyi) gátló</w:t>
      </w:r>
      <w:r w:rsidR="00396C31" w:rsidRPr="00396C31">
        <w:t xml:space="preserve"> tényezőket. Végül pedig a saját felelős magatartása eredményeinek </w:t>
      </w:r>
      <w:r w:rsidR="00E14F42" w:rsidRPr="00396C31">
        <w:t>értékeléséhez</w:t>
      </w:r>
      <w:r w:rsidR="00396C31" w:rsidRPr="00396C31">
        <w:t xml:space="preserve"> is szüksége van bizonyos információkhoz való hozzáférésre.</w:t>
      </w:r>
    </w:p>
    <w:p w14:paraId="39F81FAE" w14:textId="1D5410E8" w:rsidR="00396C31" w:rsidRPr="00D55F92" w:rsidRDefault="001A0099" w:rsidP="008D5B8D">
      <w:pPr>
        <w:rPr>
          <w:b/>
          <w:bCs/>
        </w:rPr>
      </w:pPr>
      <w:r>
        <w:rPr>
          <w:b/>
          <w:bCs/>
        </w:rPr>
        <w:t>8</w:t>
      </w:r>
      <w:r w:rsidR="000D6950" w:rsidRPr="00D55F92">
        <w:rPr>
          <w:b/>
          <w:bCs/>
        </w:rPr>
        <w:t>.</w:t>
      </w:r>
      <w:r w:rsidR="00396C31" w:rsidRPr="00D55F92">
        <w:rPr>
          <w:b/>
          <w:bCs/>
        </w:rPr>
        <w:t xml:space="preserve"> dia</w:t>
      </w:r>
    </w:p>
    <w:p w14:paraId="4295A1A4" w14:textId="3F38D2B5" w:rsidR="00396C31" w:rsidRPr="00396C31" w:rsidRDefault="00396C31" w:rsidP="00396C31">
      <w:r w:rsidRPr="00396C31">
        <w:t xml:space="preserve">Az utazási döntésekben nagy szerepe van mind az utazó saját környezetéből érkező </w:t>
      </w:r>
      <w:r w:rsidR="00E14F42" w:rsidRPr="00396C31">
        <w:t>ismereteknek</w:t>
      </w:r>
      <w:r w:rsidRPr="00396C31">
        <w:t xml:space="preserve">, </w:t>
      </w:r>
      <w:r w:rsidR="00E14F42" w:rsidRPr="00396C31">
        <w:t>információknak</w:t>
      </w:r>
      <w:r w:rsidRPr="00396C31">
        <w:t xml:space="preserve">, mind pedig a desztinációkból érkező </w:t>
      </w:r>
      <w:r w:rsidR="00E14F42" w:rsidRPr="00396C31">
        <w:t>tájékoztatásoknak</w:t>
      </w:r>
      <w:r w:rsidRPr="00396C31">
        <w:t xml:space="preserve">. </w:t>
      </w:r>
    </w:p>
    <w:p w14:paraId="0166DC7C" w14:textId="37333422" w:rsidR="00396C31" w:rsidRPr="00396C31" w:rsidRDefault="00396C31" w:rsidP="00396C31">
      <w:r w:rsidRPr="00396C31">
        <w:t xml:space="preserve">A különböző </w:t>
      </w:r>
      <w:r w:rsidRPr="00FF5AB3">
        <w:t>szervezetek és intézmények</w:t>
      </w:r>
      <w:r w:rsidRPr="00396C31">
        <w:rPr>
          <w:b/>
          <w:bCs/>
        </w:rPr>
        <w:t xml:space="preserve"> </w:t>
      </w:r>
      <w:r w:rsidRPr="00396C31">
        <w:t xml:space="preserve">- alapítványok, szervezetek, NGO-k, oktatási és szakoktatási intézmények és </w:t>
      </w:r>
      <w:r w:rsidR="00E14F42" w:rsidRPr="00396C31">
        <w:t>vállalkozások -</w:t>
      </w:r>
      <w:r w:rsidRPr="00396C31">
        <w:t xml:space="preserve"> közreműködésével megvalósulhat az értékrendek változása. A különböző életstílusok megbecsülése, a növekvő hozzáértés érdekében a fenntartható fejlődés iskolai és az iskolán kívüli </w:t>
      </w:r>
      <w:r w:rsidR="00E14F42" w:rsidRPr="00396C31">
        <w:t>oktatása kiemelkedő</w:t>
      </w:r>
      <w:r w:rsidRPr="00396C31">
        <w:t xml:space="preserve"> cél kell legyen az oktatásban.  </w:t>
      </w:r>
    </w:p>
    <w:p w14:paraId="62253499" w14:textId="1BB41FD1" w:rsidR="00396C31" w:rsidRPr="00396C31" w:rsidRDefault="00396C31" w:rsidP="00396C31">
      <w:r w:rsidRPr="00396C31">
        <w:t xml:space="preserve">A fenntartható, felelős </w:t>
      </w:r>
      <w:r w:rsidR="00E14F42" w:rsidRPr="00396C31">
        <w:t>gondolkodás nem a</w:t>
      </w:r>
      <w:r w:rsidRPr="00396C31">
        <w:t xml:space="preserve"> turizmusban való részvétel pillanatában alakul ki. A társadalmi értékek változása képezi az alapját annak a koncepciónak, amelynek célja, hogy a felelős </w:t>
      </w:r>
      <w:r w:rsidR="00E14F42" w:rsidRPr="00396C31">
        <w:t>fogyasztás fontossága</w:t>
      </w:r>
      <w:r w:rsidRPr="00396C31">
        <w:t xml:space="preserve"> gyökeret verjen az emberek gondolkodásában. Nagy felelőssége van az oktatásnak abban, </w:t>
      </w:r>
      <w:r w:rsidR="00E14F42" w:rsidRPr="00396C31">
        <w:t>hogy ez</w:t>
      </w:r>
      <w:r w:rsidRPr="00396C31">
        <w:t xml:space="preserve"> </w:t>
      </w:r>
      <w:r w:rsidR="00E14F42" w:rsidRPr="00396C31">
        <w:t>a gondolkodás</w:t>
      </w:r>
      <w:r w:rsidRPr="00396C31">
        <w:t xml:space="preserve"> szerves részévé váljon a környezetért és a jövőért érzett felelősség. </w:t>
      </w:r>
    </w:p>
    <w:p w14:paraId="578BA928" w14:textId="77777777" w:rsidR="00FF5AB3" w:rsidRDefault="00FF5AB3" w:rsidP="00B22625"/>
    <w:p w14:paraId="2B608002" w14:textId="6B5E891F" w:rsidR="00396C31" w:rsidRPr="00396C31" w:rsidRDefault="00396C31" w:rsidP="00B22625">
      <w:r w:rsidRPr="00396C31">
        <w:t xml:space="preserve">Az </w:t>
      </w:r>
      <w:r w:rsidRPr="00FF5AB3">
        <w:t xml:space="preserve">utazásszervezők és </w:t>
      </w:r>
      <w:r w:rsidR="00E14F42" w:rsidRPr="00FF5AB3">
        <w:t>utazásközvetítők</w:t>
      </w:r>
      <w:r w:rsidR="00E14F42" w:rsidRPr="00396C31">
        <w:t xml:space="preserve"> nemcsak</w:t>
      </w:r>
      <w:r w:rsidRPr="00396C31">
        <w:t xml:space="preserve"> a saját működésük </w:t>
      </w:r>
      <w:r w:rsidR="00E14F42" w:rsidRPr="00396C31">
        <w:t>fennhatóságáról (</w:t>
      </w:r>
      <w:r w:rsidRPr="00396C31">
        <w:t xml:space="preserve">pl. helyi szolgáltatókkal való kapcsolat, termékek fenntarthatósága) </w:t>
      </w:r>
      <w:r w:rsidR="00E14F42" w:rsidRPr="00396C31">
        <w:t>tájékoztathatják a</w:t>
      </w:r>
      <w:r w:rsidRPr="00396C31">
        <w:t xml:space="preserve"> turistákat, hanem hiteles információkat nyújthatnak a desztinációk szokásairól, elvárásairól. </w:t>
      </w:r>
    </w:p>
    <w:p w14:paraId="301B9A47" w14:textId="0F477695" w:rsidR="00396C31" w:rsidRPr="00396C31" w:rsidRDefault="00396C31" w:rsidP="00396C31">
      <w:r w:rsidRPr="00396C31">
        <w:t xml:space="preserve">A turisztikai vállalkozások fenntartható </w:t>
      </w:r>
      <w:r w:rsidR="00A5593F" w:rsidRPr="00396C31">
        <w:t>működésének</w:t>
      </w:r>
      <w:r w:rsidRPr="00396C31">
        <w:t xml:space="preserve"> termékeik fenntarthatóságának ismerete a felelős utazós számára elengedhetetlen: környezetvédelemi politika, </w:t>
      </w:r>
      <w:r w:rsidR="00E14F42" w:rsidRPr="00396C31">
        <w:t>klímavédelem, társadalmi</w:t>
      </w:r>
      <w:r w:rsidRPr="00396C31">
        <w:t xml:space="preserve"> felelősségvállalás, átlátható </w:t>
      </w:r>
      <w:r w:rsidR="00E14F42" w:rsidRPr="00396C31">
        <w:t>gazdálkodás,</w:t>
      </w:r>
      <w:r w:rsidRPr="00396C31">
        <w:t xml:space="preserve"> munkahelyteremtés stb. Ezekről hiteles termékismertető kiadványokban, weblapokon tájékoztathatják a turistákat.</w:t>
      </w:r>
    </w:p>
    <w:p w14:paraId="2DFA6F8F" w14:textId="77777777" w:rsidR="00396C31" w:rsidRPr="00396C31" w:rsidRDefault="00396C31" w:rsidP="00396C31">
      <w:r w:rsidRPr="00396C31">
        <w:t>A kormányzati szektor érdeke, hogy tájékoztassa a turistákat (és ezzel befolyásolja a desztinációk közötti választásukat) a desztináció fenntartható turizmusfejlesztési koncepciójáról, a fenntartható fejlődés érdekében hozott turizmusspecifikus közvetett és közvetlen szabályozó eszközökről.  A turisták felelősségteljes magatartását ösztönző kormányzati eszközökről. A turista számára kialakított magatartási kódexek, és központi marketingkampányok lehetnek a felkészülés fontos információforrásai.</w:t>
      </w:r>
    </w:p>
    <w:p w14:paraId="7B968BA6" w14:textId="2816A393" w:rsidR="00396C31" w:rsidRDefault="00396C31" w:rsidP="00396C31">
      <w:r w:rsidRPr="00396C31">
        <w:t>Az desztinációba beutazó</w:t>
      </w:r>
      <w:r w:rsidR="00F2494B">
        <w:t xml:space="preserve"> </w:t>
      </w:r>
      <w:r w:rsidRPr="00396C31">
        <w:t xml:space="preserve">turistákkal </w:t>
      </w:r>
      <w:r w:rsidR="00E14F42" w:rsidRPr="00396C31">
        <w:t>foglalkozó utazási</w:t>
      </w:r>
      <w:r w:rsidRPr="00396C31">
        <w:t xml:space="preserve"> vállalkozások prospektusai </w:t>
      </w:r>
      <w:r w:rsidR="00E14F42" w:rsidRPr="00396C31">
        <w:t>fontos és</w:t>
      </w:r>
      <w:r w:rsidRPr="00396C31">
        <w:t xml:space="preserve"> hiteles szintén információforrások a termékekről, a helyi gazdasággal való kapcsolatról, a hozzájárulásról a helyi jövedelmek bővüléséhez, munkahelyteremtésről….</w:t>
      </w:r>
    </w:p>
    <w:p w14:paraId="3C8D5AC1" w14:textId="15DF64EC" w:rsidR="000D6950" w:rsidRDefault="000D6950" w:rsidP="00396C31"/>
    <w:p w14:paraId="362F7E2A" w14:textId="77777777" w:rsidR="000D6950" w:rsidRPr="00396C31" w:rsidRDefault="000D6950" w:rsidP="00396C31"/>
    <w:p w14:paraId="055EAE48" w14:textId="6D946957" w:rsidR="00AD0786" w:rsidRDefault="00AD0786" w:rsidP="008D5B8D">
      <w:pPr>
        <w:rPr>
          <w:b/>
          <w:bCs/>
        </w:rPr>
      </w:pPr>
      <w:r w:rsidRPr="00AD0786">
        <w:rPr>
          <w:b/>
          <w:bCs/>
        </w:rPr>
        <w:t>9. dia</w:t>
      </w:r>
    </w:p>
    <w:p w14:paraId="596C68ED" w14:textId="37674B99" w:rsidR="00AD0786" w:rsidRPr="00AD0786" w:rsidRDefault="00CE2916" w:rsidP="00AD0786">
      <w:r w:rsidRPr="00AD0786">
        <w:t>A megfelelő</w:t>
      </w:r>
      <w:r w:rsidR="00AD0786" w:rsidRPr="00AD0786">
        <w:t xml:space="preserve"> információk, ismeretek és tudás alapján születhet meg a turista felelős döntése. A döntés előkészítő </w:t>
      </w:r>
      <w:r w:rsidRPr="00AD0786">
        <w:t>fázisában és</w:t>
      </w:r>
      <w:r w:rsidR="00AD0786" w:rsidRPr="00AD0786">
        <w:t xml:space="preserve"> </w:t>
      </w:r>
      <w:r w:rsidRPr="00AD0786">
        <w:t>a még</w:t>
      </w:r>
      <w:r w:rsidR="00AD0786" w:rsidRPr="00AD0786">
        <w:t xml:space="preserve"> korábban megszerzett ismeretek teszik lehetővé a döntés következményeinek a felmérését. A következményekkel járó felelősség vállalását befolyásolják egyéni, azaz belső és külső tényezők. Nagyon fontos, és erről gyakran nem esik szó, hogy a turista felkészüljön </w:t>
      </w:r>
      <w:r w:rsidRPr="00AD0786">
        <w:t>döntése esetleges</w:t>
      </w:r>
      <w:r w:rsidR="00AD0786" w:rsidRPr="00AD0786">
        <w:t xml:space="preserve"> nem várt következményéreire és azok kezelésére, a felelősség vállalhatóságára. </w:t>
      </w:r>
    </w:p>
    <w:p w14:paraId="719A2AE9" w14:textId="77777777" w:rsidR="00AD0786" w:rsidRPr="00AD0786" w:rsidRDefault="00AD0786" w:rsidP="008D5B8D">
      <w:pPr>
        <w:rPr>
          <w:b/>
          <w:bCs/>
        </w:rPr>
      </w:pPr>
    </w:p>
    <w:p w14:paraId="5DA0CFB0" w14:textId="131482F0" w:rsidR="00AD0786" w:rsidRDefault="00AD0786" w:rsidP="008D5B8D">
      <w:pPr>
        <w:rPr>
          <w:b/>
          <w:bCs/>
        </w:rPr>
      </w:pPr>
      <w:r w:rsidRPr="00AD0786">
        <w:rPr>
          <w:b/>
          <w:bCs/>
        </w:rPr>
        <w:t>10. dia</w:t>
      </w:r>
    </w:p>
    <w:p w14:paraId="3C064D6E" w14:textId="177065E5" w:rsidR="005749CF" w:rsidRDefault="005749CF" w:rsidP="005749CF">
      <w:pPr>
        <w:rPr>
          <w:b/>
          <w:bCs/>
        </w:rPr>
      </w:pPr>
    </w:p>
    <w:p w14:paraId="6B500AD0" w14:textId="5662CA62" w:rsidR="008B36E8" w:rsidRPr="008B36E8" w:rsidRDefault="008B36E8" w:rsidP="008D5B8D">
      <w:pPr>
        <w:rPr>
          <w:b/>
          <w:bCs/>
        </w:rPr>
      </w:pPr>
      <w:r>
        <w:t xml:space="preserve">A desztinációk kiválasztásánál fontos </w:t>
      </w:r>
      <w:r w:rsidR="00CE2916">
        <w:t>szempont,</w:t>
      </w:r>
      <w:r>
        <w:t xml:space="preserve"> hogy a desztináció mennyiben </w:t>
      </w:r>
      <w:r w:rsidR="00CE2916">
        <w:t>követi a</w:t>
      </w:r>
      <w:r>
        <w:t xml:space="preserve"> fenntartható turizmusfejlesztés elveit. Nagy segítséget nyújthat, ha a desztináció rendelkezik valamilyen nemzetközi turisztikai díjjal. A felelős turista számára például sokat jelenthet a </w:t>
      </w:r>
      <w:r w:rsidRPr="008B36E8">
        <w:rPr>
          <w:b/>
          <w:bCs/>
        </w:rPr>
        <w:t xml:space="preserve">Felelős Turizmus Világ díja. </w:t>
      </w:r>
      <w:r>
        <w:rPr>
          <w:b/>
          <w:bCs/>
        </w:rPr>
        <w:t xml:space="preserve"> </w:t>
      </w:r>
      <w:r w:rsidRPr="008B36E8">
        <w:t>Bővebben a Tanári magyarázatban</w:t>
      </w:r>
    </w:p>
    <w:p w14:paraId="0AE671AD" w14:textId="076B6E95" w:rsidR="009F4601" w:rsidRDefault="008B36E8" w:rsidP="008D5B8D">
      <w:r>
        <w:t>Az utazás időpontjának megválasztásával csökkenthetők a környezetre gyakorolt negatív hatások a kevésbé frekventált időszakokban. Ezzel együtt a tartózk</w:t>
      </w:r>
      <w:r w:rsidR="00551CCA">
        <w:t>o</w:t>
      </w:r>
      <w:r>
        <w:t>dási idő hossz</w:t>
      </w:r>
      <w:r w:rsidR="00551CCA">
        <w:t xml:space="preserve">ának helyes megváltoztatásával is növelhetők </w:t>
      </w:r>
      <w:r w:rsidR="00CE2916">
        <w:t>a pozitív</w:t>
      </w:r>
      <w:r w:rsidR="00551CCA">
        <w:t xml:space="preserve"> hatások: </w:t>
      </w:r>
      <w:r w:rsidR="00CE2916">
        <w:t>a közlekedés</w:t>
      </w:r>
      <w:r w:rsidR="00551CCA">
        <w:t xml:space="preserve"> okozta környezetszennyezést például ellensúlyozhatja a több szolgáltatás és termék vásárlása a desztinációban a hosszabb tartózkodás alatt.</w:t>
      </w:r>
    </w:p>
    <w:p w14:paraId="17722DD8" w14:textId="1E08AF9A" w:rsidR="00551CCA" w:rsidRPr="008B36E8" w:rsidRDefault="00551CCA" w:rsidP="008D5B8D">
      <w:r>
        <w:t xml:space="preserve">A turizmus különösen </w:t>
      </w:r>
      <w:r w:rsidR="00CE2916">
        <w:t>a közlekedés</w:t>
      </w:r>
      <w:r>
        <w:t xml:space="preserve"> CO</w:t>
      </w:r>
      <w:r w:rsidRPr="00551CCA">
        <w:rPr>
          <w:rFonts w:cstheme="minorHAnsi"/>
          <w:vertAlign w:val="subscript"/>
        </w:rPr>
        <w:t>2</w:t>
      </w:r>
      <w:r>
        <w:rPr>
          <w:rFonts w:cstheme="minorHAnsi"/>
          <w:vertAlign w:val="subscript"/>
        </w:rPr>
        <w:t xml:space="preserve"> </w:t>
      </w:r>
      <w:r w:rsidRPr="00551CCA">
        <w:rPr>
          <w:rFonts w:cstheme="minorHAnsi"/>
        </w:rPr>
        <w:t xml:space="preserve">kibocsátása </w:t>
      </w:r>
      <w:r>
        <w:rPr>
          <w:rFonts w:cstheme="minorHAnsi"/>
        </w:rPr>
        <w:t xml:space="preserve">miatt jelentősen hozzájárul a klímaváltozáshoz. Ezért a közlekedés módjának körültekintő és felelős megválasztása az egyik legfontosabb döntése a </w:t>
      </w:r>
      <w:r>
        <w:rPr>
          <w:rFonts w:cstheme="minorHAnsi"/>
        </w:rPr>
        <w:lastRenderedPageBreak/>
        <w:t xml:space="preserve">turistának. Lehetőség van a </w:t>
      </w:r>
      <w:r>
        <w:t>CO</w:t>
      </w:r>
      <w:r w:rsidRPr="00551CCA">
        <w:rPr>
          <w:rFonts w:cstheme="minorHAnsi"/>
          <w:vertAlign w:val="subscript"/>
        </w:rPr>
        <w:t>2</w:t>
      </w:r>
      <w:r>
        <w:rPr>
          <w:rFonts w:cstheme="minorHAnsi"/>
          <w:vertAlign w:val="subscript"/>
        </w:rPr>
        <w:t xml:space="preserve"> </w:t>
      </w:r>
      <w:r w:rsidRPr="00551CCA">
        <w:rPr>
          <w:rFonts w:cstheme="minorHAnsi"/>
        </w:rPr>
        <w:t>kibocsátás</w:t>
      </w:r>
      <w:r>
        <w:rPr>
          <w:rFonts w:cstheme="minorHAnsi"/>
        </w:rPr>
        <w:t xml:space="preserve"> ellentételezésére (Carbon offset) bizonyos közlekedési vállaltok esetében.</w:t>
      </w:r>
    </w:p>
    <w:p w14:paraId="4A210504" w14:textId="5C0AB532" w:rsidR="00AD0786" w:rsidRDefault="008B36E8" w:rsidP="008D5B8D">
      <w:r w:rsidRPr="008B36E8">
        <w:t>A szolgáltatók felelős kiválasztásában segítséget nyújtanak a fenntarthatósági tan</w:t>
      </w:r>
      <w:r>
        <w:t>ú</w:t>
      </w:r>
      <w:r w:rsidRPr="008B36E8">
        <w:t>sítványok, azaz az ökocimkék</w:t>
      </w:r>
      <w:r>
        <w:t xml:space="preserve">. Az ilyen tanúsítvánnyal rendelkező vállalkozások a termékeik és szolgáltatásai k előállítása során betartják és követik </w:t>
      </w:r>
      <w:r w:rsidR="00CE2916">
        <w:t>a fenntartható</w:t>
      </w:r>
      <w:r>
        <w:t xml:space="preserve"> fejlesztés irányelvei. Az ökocimke rendszer a turizmusban is elterjedt, jó igazodási pontot jelenteke a felelős turista számára. </w:t>
      </w:r>
    </w:p>
    <w:p w14:paraId="057C2D45" w14:textId="71D44427" w:rsidR="00551CCA" w:rsidRDefault="00551CCA" w:rsidP="008D5B8D">
      <w:r>
        <w:t>A szolgáltatások lefoglalása történhet online közvetlenül a szolgáltatónál, digitális eszközökkel, vagy utazásszervező vagy. közvetítő vállalkozásnál. Utóbbiak esetében az egyik legfontosabb döntési szempont a vállalkozás együttműködés a desztináció helyi vállalkozásaival.</w:t>
      </w:r>
    </w:p>
    <w:p w14:paraId="6D5B55AA" w14:textId="77777777" w:rsidR="00551CCA" w:rsidRPr="008B36E8" w:rsidRDefault="00551CCA" w:rsidP="008D5B8D"/>
    <w:p w14:paraId="5D7CB81E" w14:textId="77777777" w:rsidR="008B36E8" w:rsidRDefault="008B36E8" w:rsidP="008B36E8">
      <w:pPr>
        <w:pStyle w:val="NormlWeb"/>
        <w:shd w:val="clear" w:color="auto" w:fill="F5F5F5"/>
        <w:rPr>
          <w:rFonts w:ascii="Verdana" w:hAnsi="Verdana"/>
          <w:color w:val="000000"/>
          <w:sz w:val="15"/>
          <w:szCs w:val="15"/>
        </w:rPr>
      </w:pPr>
    </w:p>
    <w:p w14:paraId="6D1CC5DA" w14:textId="77777777" w:rsidR="008B36E8" w:rsidRDefault="008B36E8" w:rsidP="008D5B8D">
      <w:pPr>
        <w:rPr>
          <w:b/>
          <w:bCs/>
        </w:rPr>
      </w:pPr>
    </w:p>
    <w:p w14:paraId="3FBBAB1F" w14:textId="0D304539" w:rsidR="00AD0786" w:rsidRPr="00AD0786" w:rsidRDefault="00AD0786" w:rsidP="008D5B8D">
      <w:pPr>
        <w:rPr>
          <w:b/>
          <w:bCs/>
        </w:rPr>
      </w:pPr>
    </w:p>
    <w:sectPr w:rsidR="00AD0786" w:rsidRPr="00AD0786" w:rsidSect="005D7D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A0372B"/>
    <w:multiLevelType w:val="hybridMultilevel"/>
    <w:tmpl w:val="4336BEE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245F00DD"/>
    <w:multiLevelType w:val="hybridMultilevel"/>
    <w:tmpl w:val="BF20A188"/>
    <w:lvl w:ilvl="0" w:tplc="AB5ED9B6">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EB14A1C"/>
    <w:multiLevelType w:val="hybridMultilevel"/>
    <w:tmpl w:val="B7FA92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4BD60428"/>
    <w:multiLevelType w:val="hybridMultilevel"/>
    <w:tmpl w:val="2C38E3D8"/>
    <w:lvl w:ilvl="0" w:tplc="8A1010E6">
      <w:start w:val="1"/>
      <w:numFmt w:val="bullet"/>
      <w:lvlText w:val="•"/>
      <w:lvlJc w:val="left"/>
      <w:pPr>
        <w:tabs>
          <w:tab w:val="num" w:pos="720"/>
        </w:tabs>
        <w:ind w:left="720" w:hanging="360"/>
      </w:pPr>
      <w:rPr>
        <w:rFonts w:ascii="Arial" w:hAnsi="Arial" w:hint="default"/>
      </w:rPr>
    </w:lvl>
    <w:lvl w:ilvl="1" w:tplc="A6626770" w:tentative="1">
      <w:start w:val="1"/>
      <w:numFmt w:val="bullet"/>
      <w:lvlText w:val="•"/>
      <w:lvlJc w:val="left"/>
      <w:pPr>
        <w:tabs>
          <w:tab w:val="num" w:pos="1440"/>
        </w:tabs>
        <w:ind w:left="1440" w:hanging="360"/>
      </w:pPr>
      <w:rPr>
        <w:rFonts w:ascii="Arial" w:hAnsi="Arial" w:hint="default"/>
      </w:rPr>
    </w:lvl>
    <w:lvl w:ilvl="2" w:tplc="B3766BAA" w:tentative="1">
      <w:start w:val="1"/>
      <w:numFmt w:val="bullet"/>
      <w:lvlText w:val="•"/>
      <w:lvlJc w:val="left"/>
      <w:pPr>
        <w:tabs>
          <w:tab w:val="num" w:pos="2160"/>
        </w:tabs>
        <w:ind w:left="2160" w:hanging="360"/>
      </w:pPr>
      <w:rPr>
        <w:rFonts w:ascii="Arial" w:hAnsi="Arial" w:hint="default"/>
      </w:rPr>
    </w:lvl>
    <w:lvl w:ilvl="3" w:tplc="B3A2EEBE" w:tentative="1">
      <w:start w:val="1"/>
      <w:numFmt w:val="bullet"/>
      <w:lvlText w:val="•"/>
      <w:lvlJc w:val="left"/>
      <w:pPr>
        <w:tabs>
          <w:tab w:val="num" w:pos="2880"/>
        </w:tabs>
        <w:ind w:left="2880" w:hanging="360"/>
      </w:pPr>
      <w:rPr>
        <w:rFonts w:ascii="Arial" w:hAnsi="Arial" w:hint="default"/>
      </w:rPr>
    </w:lvl>
    <w:lvl w:ilvl="4" w:tplc="9DFE9D26" w:tentative="1">
      <w:start w:val="1"/>
      <w:numFmt w:val="bullet"/>
      <w:lvlText w:val="•"/>
      <w:lvlJc w:val="left"/>
      <w:pPr>
        <w:tabs>
          <w:tab w:val="num" w:pos="3600"/>
        </w:tabs>
        <w:ind w:left="3600" w:hanging="360"/>
      </w:pPr>
      <w:rPr>
        <w:rFonts w:ascii="Arial" w:hAnsi="Arial" w:hint="default"/>
      </w:rPr>
    </w:lvl>
    <w:lvl w:ilvl="5" w:tplc="599AC36E" w:tentative="1">
      <w:start w:val="1"/>
      <w:numFmt w:val="bullet"/>
      <w:lvlText w:val="•"/>
      <w:lvlJc w:val="left"/>
      <w:pPr>
        <w:tabs>
          <w:tab w:val="num" w:pos="4320"/>
        </w:tabs>
        <w:ind w:left="4320" w:hanging="360"/>
      </w:pPr>
      <w:rPr>
        <w:rFonts w:ascii="Arial" w:hAnsi="Arial" w:hint="default"/>
      </w:rPr>
    </w:lvl>
    <w:lvl w:ilvl="6" w:tplc="CABC31BE" w:tentative="1">
      <w:start w:val="1"/>
      <w:numFmt w:val="bullet"/>
      <w:lvlText w:val="•"/>
      <w:lvlJc w:val="left"/>
      <w:pPr>
        <w:tabs>
          <w:tab w:val="num" w:pos="5040"/>
        </w:tabs>
        <w:ind w:left="5040" w:hanging="360"/>
      </w:pPr>
      <w:rPr>
        <w:rFonts w:ascii="Arial" w:hAnsi="Arial" w:hint="default"/>
      </w:rPr>
    </w:lvl>
    <w:lvl w:ilvl="7" w:tplc="9404E3B6" w:tentative="1">
      <w:start w:val="1"/>
      <w:numFmt w:val="bullet"/>
      <w:lvlText w:val="•"/>
      <w:lvlJc w:val="left"/>
      <w:pPr>
        <w:tabs>
          <w:tab w:val="num" w:pos="5760"/>
        </w:tabs>
        <w:ind w:left="5760" w:hanging="360"/>
      </w:pPr>
      <w:rPr>
        <w:rFonts w:ascii="Arial" w:hAnsi="Arial" w:hint="default"/>
      </w:rPr>
    </w:lvl>
    <w:lvl w:ilvl="8" w:tplc="5A169AA4"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435"/>
    <w:rsid w:val="000D6950"/>
    <w:rsid w:val="00120998"/>
    <w:rsid w:val="001A0099"/>
    <w:rsid w:val="00353496"/>
    <w:rsid w:val="00355167"/>
    <w:rsid w:val="00396C31"/>
    <w:rsid w:val="003F023B"/>
    <w:rsid w:val="00407229"/>
    <w:rsid w:val="004D5BCA"/>
    <w:rsid w:val="005061FE"/>
    <w:rsid w:val="005310FD"/>
    <w:rsid w:val="00551CCA"/>
    <w:rsid w:val="005749CF"/>
    <w:rsid w:val="005D7D4B"/>
    <w:rsid w:val="0063521C"/>
    <w:rsid w:val="0072032E"/>
    <w:rsid w:val="00760B6E"/>
    <w:rsid w:val="008110B2"/>
    <w:rsid w:val="008B36E8"/>
    <w:rsid w:val="008D5B8D"/>
    <w:rsid w:val="00924F69"/>
    <w:rsid w:val="00932E8A"/>
    <w:rsid w:val="0099650F"/>
    <w:rsid w:val="009E46BA"/>
    <w:rsid w:val="009F0D8E"/>
    <w:rsid w:val="009F3449"/>
    <w:rsid w:val="009F4601"/>
    <w:rsid w:val="00A5593F"/>
    <w:rsid w:val="00A637A1"/>
    <w:rsid w:val="00AA5B47"/>
    <w:rsid w:val="00AC2E58"/>
    <w:rsid w:val="00AD0786"/>
    <w:rsid w:val="00AD3A09"/>
    <w:rsid w:val="00B22625"/>
    <w:rsid w:val="00C524EA"/>
    <w:rsid w:val="00CE2916"/>
    <w:rsid w:val="00D23435"/>
    <w:rsid w:val="00D51F31"/>
    <w:rsid w:val="00D55F92"/>
    <w:rsid w:val="00E14F42"/>
    <w:rsid w:val="00E27372"/>
    <w:rsid w:val="00E62292"/>
    <w:rsid w:val="00EC02C8"/>
    <w:rsid w:val="00F2494B"/>
    <w:rsid w:val="00F25FB6"/>
    <w:rsid w:val="00F34539"/>
    <w:rsid w:val="00F37A61"/>
    <w:rsid w:val="00F91D2B"/>
    <w:rsid w:val="00FE0E41"/>
    <w:rsid w:val="00FF5AB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B720A"/>
  <w15:chartTrackingRefBased/>
  <w15:docId w15:val="{ACF7B810-3F5C-4EDE-B92D-60FF97A14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Irodalomjegyzk">
    <w:name w:val="Bibliography"/>
    <w:basedOn w:val="Norml"/>
    <w:next w:val="Norml"/>
    <w:uiPriority w:val="37"/>
    <w:unhideWhenUsed/>
    <w:rsid w:val="005310FD"/>
  </w:style>
  <w:style w:type="paragraph" w:styleId="Listaszerbekezds">
    <w:name w:val="List Paragraph"/>
    <w:basedOn w:val="Norml"/>
    <w:uiPriority w:val="34"/>
    <w:qFormat/>
    <w:rsid w:val="00F34539"/>
    <w:pPr>
      <w:ind w:left="720"/>
      <w:contextualSpacing/>
    </w:pPr>
  </w:style>
  <w:style w:type="character" w:styleId="Hiperhivatkozs">
    <w:name w:val="Hyperlink"/>
    <w:basedOn w:val="Bekezdsalapbettpusa"/>
    <w:uiPriority w:val="99"/>
    <w:unhideWhenUsed/>
    <w:rsid w:val="004D5BCA"/>
    <w:rPr>
      <w:color w:val="0563C1" w:themeColor="hyperlink"/>
      <w:u w:val="single"/>
    </w:rPr>
  </w:style>
  <w:style w:type="character" w:styleId="Feloldatlanmegemlts">
    <w:name w:val="Unresolved Mention"/>
    <w:basedOn w:val="Bekezdsalapbettpusa"/>
    <w:uiPriority w:val="99"/>
    <w:semiHidden/>
    <w:unhideWhenUsed/>
    <w:rsid w:val="004D5BCA"/>
    <w:rPr>
      <w:color w:val="605E5C"/>
      <w:shd w:val="clear" w:color="auto" w:fill="E1DFDD"/>
    </w:rPr>
  </w:style>
  <w:style w:type="paragraph" w:styleId="NormlWeb">
    <w:name w:val="Normal (Web)"/>
    <w:basedOn w:val="Norml"/>
    <w:uiPriority w:val="99"/>
    <w:semiHidden/>
    <w:unhideWhenUsed/>
    <w:rsid w:val="008B36E8"/>
    <w:pPr>
      <w:spacing w:before="100" w:beforeAutospacing="1" w:after="100" w:afterAutospacing="1"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435532">
      <w:bodyDiv w:val="1"/>
      <w:marLeft w:val="0"/>
      <w:marRight w:val="0"/>
      <w:marTop w:val="0"/>
      <w:marBottom w:val="0"/>
      <w:divBdr>
        <w:top w:val="none" w:sz="0" w:space="0" w:color="auto"/>
        <w:left w:val="none" w:sz="0" w:space="0" w:color="auto"/>
        <w:bottom w:val="none" w:sz="0" w:space="0" w:color="auto"/>
        <w:right w:val="none" w:sz="0" w:space="0" w:color="auto"/>
      </w:divBdr>
      <w:divsChild>
        <w:div w:id="739669744">
          <w:marLeft w:val="274"/>
          <w:marRight w:val="0"/>
          <w:marTop w:val="0"/>
          <w:marBottom w:val="0"/>
          <w:divBdr>
            <w:top w:val="none" w:sz="0" w:space="0" w:color="auto"/>
            <w:left w:val="none" w:sz="0" w:space="0" w:color="auto"/>
            <w:bottom w:val="none" w:sz="0" w:space="0" w:color="auto"/>
            <w:right w:val="none" w:sz="0" w:space="0" w:color="auto"/>
          </w:divBdr>
        </w:div>
        <w:div w:id="1146973672">
          <w:marLeft w:val="274"/>
          <w:marRight w:val="0"/>
          <w:marTop w:val="0"/>
          <w:marBottom w:val="0"/>
          <w:divBdr>
            <w:top w:val="none" w:sz="0" w:space="0" w:color="auto"/>
            <w:left w:val="none" w:sz="0" w:space="0" w:color="auto"/>
            <w:bottom w:val="none" w:sz="0" w:space="0" w:color="auto"/>
            <w:right w:val="none" w:sz="0" w:space="0" w:color="auto"/>
          </w:divBdr>
        </w:div>
        <w:div w:id="858933624">
          <w:marLeft w:val="274"/>
          <w:marRight w:val="0"/>
          <w:marTop w:val="0"/>
          <w:marBottom w:val="0"/>
          <w:divBdr>
            <w:top w:val="none" w:sz="0" w:space="0" w:color="auto"/>
            <w:left w:val="none" w:sz="0" w:space="0" w:color="auto"/>
            <w:bottom w:val="none" w:sz="0" w:space="0" w:color="auto"/>
            <w:right w:val="none" w:sz="0" w:space="0" w:color="auto"/>
          </w:divBdr>
        </w:div>
        <w:div w:id="697313186">
          <w:marLeft w:val="274"/>
          <w:marRight w:val="0"/>
          <w:marTop w:val="0"/>
          <w:marBottom w:val="0"/>
          <w:divBdr>
            <w:top w:val="none" w:sz="0" w:space="0" w:color="auto"/>
            <w:left w:val="none" w:sz="0" w:space="0" w:color="auto"/>
            <w:bottom w:val="none" w:sz="0" w:space="0" w:color="auto"/>
            <w:right w:val="none" w:sz="0" w:space="0" w:color="auto"/>
          </w:divBdr>
        </w:div>
      </w:divsChild>
    </w:div>
    <w:div w:id="237447761">
      <w:bodyDiv w:val="1"/>
      <w:marLeft w:val="0"/>
      <w:marRight w:val="0"/>
      <w:marTop w:val="0"/>
      <w:marBottom w:val="0"/>
      <w:divBdr>
        <w:top w:val="none" w:sz="0" w:space="0" w:color="auto"/>
        <w:left w:val="none" w:sz="0" w:space="0" w:color="auto"/>
        <w:bottom w:val="none" w:sz="0" w:space="0" w:color="auto"/>
        <w:right w:val="none" w:sz="0" w:space="0" w:color="auto"/>
      </w:divBdr>
    </w:div>
    <w:div w:id="328950757">
      <w:bodyDiv w:val="1"/>
      <w:marLeft w:val="0"/>
      <w:marRight w:val="0"/>
      <w:marTop w:val="0"/>
      <w:marBottom w:val="0"/>
      <w:divBdr>
        <w:top w:val="none" w:sz="0" w:space="0" w:color="auto"/>
        <w:left w:val="none" w:sz="0" w:space="0" w:color="auto"/>
        <w:bottom w:val="none" w:sz="0" w:space="0" w:color="auto"/>
        <w:right w:val="none" w:sz="0" w:space="0" w:color="auto"/>
      </w:divBdr>
    </w:div>
    <w:div w:id="891767150">
      <w:bodyDiv w:val="1"/>
      <w:marLeft w:val="0"/>
      <w:marRight w:val="0"/>
      <w:marTop w:val="0"/>
      <w:marBottom w:val="0"/>
      <w:divBdr>
        <w:top w:val="none" w:sz="0" w:space="0" w:color="auto"/>
        <w:left w:val="none" w:sz="0" w:space="0" w:color="auto"/>
        <w:bottom w:val="none" w:sz="0" w:space="0" w:color="auto"/>
        <w:right w:val="none" w:sz="0" w:space="0" w:color="auto"/>
      </w:divBdr>
    </w:div>
    <w:div w:id="952906151">
      <w:bodyDiv w:val="1"/>
      <w:marLeft w:val="0"/>
      <w:marRight w:val="0"/>
      <w:marTop w:val="0"/>
      <w:marBottom w:val="0"/>
      <w:divBdr>
        <w:top w:val="none" w:sz="0" w:space="0" w:color="auto"/>
        <w:left w:val="none" w:sz="0" w:space="0" w:color="auto"/>
        <w:bottom w:val="none" w:sz="0" w:space="0" w:color="auto"/>
        <w:right w:val="none" w:sz="0" w:space="0" w:color="auto"/>
      </w:divBdr>
    </w:div>
    <w:div w:id="1015425011">
      <w:bodyDiv w:val="1"/>
      <w:marLeft w:val="0"/>
      <w:marRight w:val="0"/>
      <w:marTop w:val="0"/>
      <w:marBottom w:val="0"/>
      <w:divBdr>
        <w:top w:val="none" w:sz="0" w:space="0" w:color="auto"/>
        <w:left w:val="none" w:sz="0" w:space="0" w:color="auto"/>
        <w:bottom w:val="none" w:sz="0" w:space="0" w:color="auto"/>
        <w:right w:val="none" w:sz="0" w:space="0" w:color="auto"/>
      </w:divBdr>
    </w:div>
    <w:div w:id="1122268559">
      <w:bodyDiv w:val="1"/>
      <w:marLeft w:val="0"/>
      <w:marRight w:val="0"/>
      <w:marTop w:val="0"/>
      <w:marBottom w:val="0"/>
      <w:divBdr>
        <w:top w:val="none" w:sz="0" w:space="0" w:color="auto"/>
        <w:left w:val="none" w:sz="0" w:space="0" w:color="auto"/>
        <w:bottom w:val="none" w:sz="0" w:space="0" w:color="auto"/>
        <w:right w:val="none" w:sz="0" w:space="0" w:color="auto"/>
      </w:divBdr>
    </w:div>
    <w:div w:id="1175804767">
      <w:bodyDiv w:val="1"/>
      <w:marLeft w:val="0"/>
      <w:marRight w:val="0"/>
      <w:marTop w:val="0"/>
      <w:marBottom w:val="0"/>
      <w:divBdr>
        <w:top w:val="none" w:sz="0" w:space="0" w:color="auto"/>
        <w:left w:val="none" w:sz="0" w:space="0" w:color="auto"/>
        <w:bottom w:val="none" w:sz="0" w:space="0" w:color="auto"/>
        <w:right w:val="none" w:sz="0" w:space="0" w:color="auto"/>
      </w:divBdr>
    </w:div>
    <w:div w:id="1339234979">
      <w:bodyDiv w:val="1"/>
      <w:marLeft w:val="0"/>
      <w:marRight w:val="0"/>
      <w:marTop w:val="0"/>
      <w:marBottom w:val="0"/>
      <w:divBdr>
        <w:top w:val="none" w:sz="0" w:space="0" w:color="auto"/>
        <w:left w:val="none" w:sz="0" w:space="0" w:color="auto"/>
        <w:bottom w:val="none" w:sz="0" w:space="0" w:color="auto"/>
        <w:right w:val="none" w:sz="0" w:space="0" w:color="auto"/>
      </w:divBdr>
    </w:div>
    <w:div w:id="1598053318">
      <w:bodyDiv w:val="1"/>
      <w:marLeft w:val="0"/>
      <w:marRight w:val="0"/>
      <w:marTop w:val="0"/>
      <w:marBottom w:val="0"/>
      <w:divBdr>
        <w:top w:val="none" w:sz="0" w:space="0" w:color="auto"/>
        <w:left w:val="none" w:sz="0" w:space="0" w:color="auto"/>
        <w:bottom w:val="none" w:sz="0" w:space="0" w:color="auto"/>
        <w:right w:val="none" w:sz="0" w:space="0" w:color="auto"/>
      </w:divBdr>
    </w:div>
    <w:div w:id="1821120042">
      <w:bodyDiv w:val="1"/>
      <w:marLeft w:val="0"/>
      <w:marRight w:val="0"/>
      <w:marTop w:val="0"/>
      <w:marBottom w:val="0"/>
      <w:divBdr>
        <w:top w:val="none" w:sz="0" w:space="0" w:color="auto"/>
        <w:left w:val="none" w:sz="0" w:space="0" w:color="auto"/>
        <w:bottom w:val="none" w:sz="0" w:space="0" w:color="auto"/>
        <w:right w:val="none" w:sz="0" w:space="0" w:color="auto"/>
      </w:divBdr>
    </w:div>
    <w:div w:id="1822624462">
      <w:bodyDiv w:val="1"/>
      <w:marLeft w:val="0"/>
      <w:marRight w:val="0"/>
      <w:marTop w:val="0"/>
      <w:marBottom w:val="0"/>
      <w:divBdr>
        <w:top w:val="none" w:sz="0" w:space="0" w:color="auto"/>
        <w:left w:val="none" w:sz="0" w:space="0" w:color="auto"/>
        <w:bottom w:val="none" w:sz="0" w:space="0" w:color="auto"/>
        <w:right w:val="none" w:sz="0" w:space="0" w:color="auto"/>
      </w:divBdr>
    </w:div>
    <w:div w:id="1839033019">
      <w:bodyDiv w:val="1"/>
      <w:marLeft w:val="0"/>
      <w:marRight w:val="0"/>
      <w:marTop w:val="0"/>
      <w:marBottom w:val="0"/>
      <w:divBdr>
        <w:top w:val="none" w:sz="0" w:space="0" w:color="auto"/>
        <w:left w:val="none" w:sz="0" w:space="0" w:color="auto"/>
        <w:bottom w:val="none" w:sz="0" w:space="0" w:color="auto"/>
        <w:right w:val="none" w:sz="0" w:space="0" w:color="auto"/>
      </w:divBdr>
    </w:div>
    <w:div w:id="1879321245">
      <w:bodyDiv w:val="1"/>
      <w:marLeft w:val="0"/>
      <w:marRight w:val="0"/>
      <w:marTop w:val="0"/>
      <w:marBottom w:val="0"/>
      <w:divBdr>
        <w:top w:val="none" w:sz="0" w:space="0" w:color="auto"/>
        <w:left w:val="none" w:sz="0" w:space="0" w:color="auto"/>
        <w:bottom w:val="none" w:sz="0" w:space="0" w:color="auto"/>
        <w:right w:val="none" w:sz="0" w:space="0" w:color="auto"/>
      </w:divBdr>
    </w:div>
    <w:div w:id="1884318952">
      <w:bodyDiv w:val="1"/>
      <w:marLeft w:val="0"/>
      <w:marRight w:val="0"/>
      <w:marTop w:val="0"/>
      <w:marBottom w:val="0"/>
      <w:divBdr>
        <w:top w:val="none" w:sz="0" w:space="0" w:color="auto"/>
        <w:left w:val="none" w:sz="0" w:space="0" w:color="auto"/>
        <w:bottom w:val="none" w:sz="0" w:space="0" w:color="auto"/>
        <w:right w:val="none" w:sz="0" w:space="0" w:color="auto"/>
      </w:divBdr>
    </w:div>
    <w:div w:id="1975213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DrN11</b:Tag>
    <b:SourceType>DocumentFromInternetSite</b:SourceType>
    <b:Guid>{954B70B8-9B72-49F5-882D-BFCD7DB732DA}</b:Guid>
    <b:Author>
      <b:Author>
        <b:NameList>
          <b:Person>
            <b:Last>Szabolcs</b:Last>
            <b:First>Dr.</b:First>
            <b:Middle>Nagy</b:Middle>
          </b:Person>
        </b:NameList>
      </b:Author>
    </b:Author>
    <b:Title>MIDRA - Miskolci Egyetem DigitálisRaktár és Adattár</b:Title>
    <b:InternetSiteTitle>http://midra.uni-miskolc.hu/document/23782</b:InternetSiteTitle>
    <b:Year>2011</b:Year>
    <b:URL>http://midra.uni-miskolc.hu/document/23782</b:URL>
    <b:RefOrder>1</b:RefOrder>
  </b:Source>
  <b:Source>
    <b:Tag>DrF12</b:Tag>
    <b:SourceType>ElectronicSource</b:SourceType>
    <b:Guid>{9858A983-E3ED-4F97-AFE7-D98571478405}</b:Guid>
    <b:Author>
      <b:Author>
        <b:Corporate>Dr. Fodor Mónika , Fürediné Dr. Kovács Annamária, Dr. Horvth Ágner, Rácz Georgina</b:Corporate>
      </b:Author>
    </b:Author>
    <b:Title>A fogyasztói magatartás</b:Title>
    <b:InternetSiteTitle>www.perfekt.hu</b:InternetSiteTitle>
    <b:Year>2012</b:Year>
    <b:Day>2020. november 10</b:Day>
    <b:URL>https://www.google.com/search?q=fogyaszt%C3%B3i+magatart%C3%A1s&amp;rlz=1C1GCEU_huHU848HU848&amp;oq=fogyaszt%C3%B3i+magatart%C3%A1s+&amp;aqs=chrome.0.69i59l2j0l3j46j0l2.5587j0j15&amp;sourceid=chrome&amp;ie=UTF-8</b:URL>
    <b:City>Budapest, a Perfekt Gazdasági Tanácsadó, Oktató és Kiadó Zrt</b:City>
    <b:CountryRegion>Magyarország</b:CountryRegion>
    <b:RefOrder>2</b:RefOrder>
  </b:Source>
  <b:Source>
    <b:Tag>UNE09</b:Tag>
    <b:SourceType>DocumentFromInternetSite</b:SourceType>
    <b:Guid>{75B96E18-C99F-4A1F-9067-6E45127CCC89}</b:Guid>
    <b:Author>
      <b:Author>
        <b:Corporate>UNESCO</b:Corporate>
      </b:Author>
    </b:Author>
    <b:Title>UNESDOC Digital Library</b:Title>
    <b:InternetSiteTitle>https://Unesdoc.unesco.org</b:InternetSiteTitle>
    <b:Year>2009</b:Year>
    <b:URL>https://unesdoc.unesco.org/ark:/48223/pf0000179121</b:URL>
    <b:YearAccessed>2011</b:YearAccessed>
    <b:MonthAccessed>feb</b:MonthAccessed>
    <b:DayAccessed>12ű</b:DayAccessed>
    <b:ShortTitle>Education and the search for a sustainable future</b:ShortTitle>
    <b:StandardNumber>ED.2009/WS/7 </b:StandardNumber>
    <b:Medium>online</b:Medium>
    <b:DOI>0000179121</b:DOI>
    <b:RefOrder>3</b:RefOrder>
  </b:Source>
</b:Sources>
</file>

<file path=customXml/itemProps1.xml><?xml version="1.0" encoding="utf-8"?>
<ds:datastoreItem xmlns:ds="http://schemas.openxmlformats.org/officeDocument/2006/customXml" ds:itemID="{805FB8B1-7F90-4670-B97F-D26BD4786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4</Pages>
  <Words>1183</Words>
  <Characters>8164</Characters>
  <Application>Microsoft Office Word</Application>
  <DocSecurity>0</DocSecurity>
  <Lines>68</Lines>
  <Paragraphs>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Garán Éva</dc:creator>
  <cp:keywords/>
  <dc:description/>
  <cp:lastModifiedBy>Garán Éva</cp:lastModifiedBy>
  <cp:revision>15</cp:revision>
  <dcterms:created xsi:type="dcterms:W3CDTF">2020-11-14T08:39:00Z</dcterms:created>
  <dcterms:modified xsi:type="dcterms:W3CDTF">2020-11-27T11:49:00Z</dcterms:modified>
</cp:coreProperties>
</file>